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578B" w14:textId="77777777" w:rsidR="000501C2" w:rsidRDefault="008B7527">
      <w:pPr>
        <w:tabs>
          <w:tab w:val="left" w:pos="17080"/>
        </w:tabs>
        <w:ind w:left="13140"/>
        <w:rPr>
          <w:rFonts w:ascii="Times New Roman"/>
          <w:sz w:val="20"/>
        </w:rPr>
      </w:pPr>
      <w:r>
        <w:pict w14:anchorId="5AB657FD">
          <v:rect id="docshape1" o:spid="_x0000_s1028" style="position:absolute;left:0;text-align:left;margin-left:0;margin-top:0;width:1024pt;height:768pt;z-index:-15807488;mso-position-horizontal-relative:page;mso-position-vertical-relative:page" fillcolor="#ffeed9" stroked="f">
            <v:fill opacity="22873f"/>
            <w10:wrap anchorx="page" anchory="page"/>
          </v:rect>
        </w:pict>
      </w:r>
      <w:r>
        <w:rPr>
          <w:noProof/>
        </w:rPr>
        <w:drawing>
          <wp:anchor distT="0" distB="0" distL="0" distR="0" simplePos="0" relativeHeight="15729152" behindDoc="0" locked="0" layoutInCell="1" allowOverlap="1" wp14:anchorId="5AB657FE" wp14:editId="5AB657FF">
            <wp:simplePos x="0" y="0"/>
            <wp:positionH relativeFrom="page">
              <wp:posOffset>0</wp:posOffset>
            </wp:positionH>
            <wp:positionV relativeFrom="page">
              <wp:posOffset>7581899</wp:posOffset>
            </wp:positionV>
            <wp:extent cx="545934" cy="217106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45934" cy="2171064"/>
                    </a:xfrm>
                    <a:prstGeom prst="rect">
                      <a:avLst/>
                    </a:prstGeom>
                  </pic:spPr>
                </pic:pic>
              </a:graphicData>
            </a:graphic>
          </wp:anchor>
        </w:drawing>
      </w:r>
      <w:r>
        <w:rPr>
          <w:rFonts w:ascii="Times New Roman"/>
          <w:noProof/>
          <w:sz w:val="20"/>
        </w:rPr>
        <w:drawing>
          <wp:inline distT="0" distB="0" distL="0" distR="0" wp14:anchorId="5AB65800" wp14:editId="5AB65801">
            <wp:extent cx="2156734" cy="585787"/>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156734" cy="585787"/>
                    </a:xfrm>
                    <a:prstGeom prst="rect">
                      <a:avLst/>
                    </a:prstGeom>
                  </pic:spPr>
                </pic:pic>
              </a:graphicData>
            </a:graphic>
          </wp:inline>
        </w:drawing>
      </w:r>
      <w:r>
        <w:rPr>
          <w:rFonts w:ascii="Times New Roman"/>
          <w:sz w:val="20"/>
        </w:rPr>
        <w:tab/>
      </w:r>
      <w:r>
        <w:rPr>
          <w:noProof/>
        </w:rPr>
        <w:drawing>
          <wp:inline distT="0" distB="0" distL="0" distR="0" wp14:anchorId="5AB65802" wp14:editId="5AB65803">
            <wp:extent cx="1401099" cy="79057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401099" cy="790575"/>
                    </a:xfrm>
                    <a:prstGeom prst="rect">
                      <a:avLst/>
                    </a:prstGeom>
                  </pic:spPr>
                </pic:pic>
              </a:graphicData>
            </a:graphic>
          </wp:inline>
        </w:drawing>
      </w:r>
    </w:p>
    <w:p w14:paraId="5AB6578C" w14:textId="77777777" w:rsidR="000501C2" w:rsidRDefault="000501C2">
      <w:pPr>
        <w:pStyle w:val="BodyText"/>
        <w:rPr>
          <w:rFonts w:ascii="Times New Roman"/>
          <w:sz w:val="20"/>
        </w:rPr>
      </w:pPr>
    </w:p>
    <w:p w14:paraId="5AB6578D" w14:textId="77777777" w:rsidR="000501C2" w:rsidRDefault="000501C2">
      <w:pPr>
        <w:pStyle w:val="BodyText"/>
        <w:rPr>
          <w:rFonts w:ascii="Times New Roman"/>
          <w:sz w:val="20"/>
        </w:rPr>
      </w:pPr>
    </w:p>
    <w:p w14:paraId="5AB6578E" w14:textId="77777777" w:rsidR="000501C2" w:rsidRDefault="000501C2">
      <w:pPr>
        <w:pStyle w:val="BodyText"/>
        <w:rPr>
          <w:rFonts w:ascii="Times New Roman"/>
          <w:sz w:val="20"/>
        </w:rPr>
      </w:pPr>
    </w:p>
    <w:p w14:paraId="5AB6578F" w14:textId="77777777" w:rsidR="000501C2" w:rsidRDefault="000501C2">
      <w:pPr>
        <w:pStyle w:val="BodyText"/>
        <w:rPr>
          <w:rFonts w:ascii="Times New Roman"/>
          <w:sz w:val="20"/>
        </w:rPr>
      </w:pPr>
    </w:p>
    <w:p w14:paraId="5AB65790" w14:textId="77777777" w:rsidR="000501C2" w:rsidRDefault="000501C2">
      <w:pPr>
        <w:pStyle w:val="BodyText"/>
        <w:rPr>
          <w:rFonts w:ascii="Times New Roman"/>
          <w:sz w:val="20"/>
        </w:rPr>
      </w:pPr>
    </w:p>
    <w:p w14:paraId="5AB65791" w14:textId="77777777" w:rsidR="000501C2" w:rsidRDefault="000501C2">
      <w:pPr>
        <w:pStyle w:val="BodyText"/>
        <w:rPr>
          <w:rFonts w:ascii="Times New Roman"/>
          <w:sz w:val="20"/>
        </w:rPr>
      </w:pPr>
    </w:p>
    <w:p w14:paraId="5AB65792" w14:textId="77777777" w:rsidR="000501C2" w:rsidRDefault="000501C2">
      <w:pPr>
        <w:pStyle w:val="BodyText"/>
        <w:rPr>
          <w:rFonts w:ascii="Times New Roman"/>
          <w:sz w:val="20"/>
        </w:rPr>
      </w:pPr>
    </w:p>
    <w:p w14:paraId="5AB65793" w14:textId="77777777" w:rsidR="000501C2" w:rsidRDefault="000501C2">
      <w:pPr>
        <w:pStyle w:val="BodyText"/>
        <w:rPr>
          <w:rFonts w:ascii="Times New Roman"/>
          <w:sz w:val="20"/>
        </w:rPr>
      </w:pPr>
    </w:p>
    <w:p w14:paraId="5AB65794" w14:textId="77777777" w:rsidR="000501C2" w:rsidRDefault="000501C2">
      <w:pPr>
        <w:pStyle w:val="BodyText"/>
        <w:rPr>
          <w:rFonts w:ascii="Times New Roman"/>
          <w:sz w:val="20"/>
        </w:rPr>
      </w:pPr>
    </w:p>
    <w:p w14:paraId="5AB65795" w14:textId="77777777" w:rsidR="000501C2" w:rsidRDefault="000501C2">
      <w:pPr>
        <w:pStyle w:val="BodyText"/>
        <w:rPr>
          <w:rFonts w:ascii="Times New Roman"/>
          <w:sz w:val="20"/>
        </w:rPr>
      </w:pPr>
    </w:p>
    <w:p w14:paraId="5AB65796" w14:textId="77777777" w:rsidR="000501C2" w:rsidRDefault="000501C2">
      <w:pPr>
        <w:pStyle w:val="BodyText"/>
        <w:rPr>
          <w:rFonts w:ascii="Times New Roman"/>
          <w:sz w:val="20"/>
        </w:rPr>
      </w:pPr>
    </w:p>
    <w:p w14:paraId="5AB65797" w14:textId="77777777" w:rsidR="000501C2" w:rsidRDefault="000501C2">
      <w:pPr>
        <w:pStyle w:val="BodyText"/>
        <w:rPr>
          <w:rFonts w:ascii="Times New Roman"/>
          <w:sz w:val="20"/>
        </w:rPr>
      </w:pPr>
    </w:p>
    <w:p w14:paraId="5AB65798" w14:textId="77777777" w:rsidR="000501C2" w:rsidRDefault="000501C2">
      <w:pPr>
        <w:pStyle w:val="BodyText"/>
        <w:rPr>
          <w:rFonts w:ascii="Times New Roman"/>
          <w:sz w:val="20"/>
        </w:rPr>
      </w:pPr>
    </w:p>
    <w:p w14:paraId="5AB65799" w14:textId="77777777" w:rsidR="000501C2" w:rsidRDefault="000501C2">
      <w:pPr>
        <w:pStyle w:val="BodyText"/>
        <w:rPr>
          <w:rFonts w:ascii="Times New Roman"/>
          <w:sz w:val="20"/>
        </w:rPr>
      </w:pPr>
    </w:p>
    <w:p w14:paraId="5AB6579A" w14:textId="77777777" w:rsidR="000501C2" w:rsidRDefault="000501C2">
      <w:pPr>
        <w:pStyle w:val="BodyText"/>
        <w:rPr>
          <w:rFonts w:ascii="Times New Roman"/>
          <w:sz w:val="20"/>
        </w:rPr>
      </w:pPr>
    </w:p>
    <w:p w14:paraId="5AB6579B" w14:textId="77777777" w:rsidR="000501C2" w:rsidRDefault="000501C2">
      <w:pPr>
        <w:pStyle w:val="BodyText"/>
        <w:rPr>
          <w:rFonts w:ascii="Times New Roman"/>
          <w:sz w:val="20"/>
        </w:rPr>
      </w:pPr>
    </w:p>
    <w:p w14:paraId="5AB6579C" w14:textId="77777777" w:rsidR="000501C2" w:rsidRDefault="000501C2">
      <w:pPr>
        <w:pStyle w:val="BodyText"/>
        <w:rPr>
          <w:rFonts w:ascii="Times New Roman"/>
          <w:sz w:val="20"/>
        </w:rPr>
      </w:pPr>
    </w:p>
    <w:p w14:paraId="5AB6579D" w14:textId="77777777" w:rsidR="000501C2" w:rsidRDefault="000501C2">
      <w:pPr>
        <w:pStyle w:val="BodyText"/>
        <w:rPr>
          <w:rFonts w:ascii="Times New Roman"/>
          <w:sz w:val="20"/>
        </w:rPr>
      </w:pPr>
    </w:p>
    <w:p w14:paraId="5AB6579E" w14:textId="77777777" w:rsidR="000501C2" w:rsidRDefault="000501C2">
      <w:pPr>
        <w:pStyle w:val="BodyText"/>
        <w:rPr>
          <w:rFonts w:ascii="Times New Roman"/>
          <w:sz w:val="20"/>
        </w:rPr>
      </w:pPr>
    </w:p>
    <w:p w14:paraId="5AB6579F" w14:textId="77777777" w:rsidR="000501C2" w:rsidRDefault="000501C2">
      <w:pPr>
        <w:pStyle w:val="BodyText"/>
        <w:rPr>
          <w:rFonts w:ascii="Times New Roman"/>
          <w:sz w:val="20"/>
        </w:rPr>
      </w:pPr>
    </w:p>
    <w:p w14:paraId="5AB657A0" w14:textId="77777777" w:rsidR="000501C2" w:rsidRDefault="008B7527">
      <w:pPr>
        <w:pStyle w:val="Title"/>
        <w:spacing w:before="238"/>
        <w:ind w:left="120"/>
      </w:pPr>
      <w:r>
        <w:t>Reklamų kūrimas</w:t>
      </w:r>
    </w:p>
    <w:p w14:paraId="5AB657A1" w14:textId="77777777" w:rsidR="000501C2" w:rsidRDefault="008B7527">
      <w:pPr>
        <w:pStyle w:val="Title"/>
      </w:pPr>
      <w:r>
        <w:t>2023 m. visuotiniai bendradarbiavimo principai</w:t>
      </w:r>
    </w:p>
    <w:p w14:paraId="5AB657A2" w14:textId="77777777" w:rsidR="000501C2" w:rsidRDefault="008B7527">
      <w:pPr>
        <w:pStyle w:val="BodyText"/>
        <w:spacing w:before="696" w:line="254" w:lineRule="auto"/>
        <w:ind w:left="100" w:right="711"/>
        <w:jc w:val="both"/>
      </w:pPr>
      <w:r>
        <w:t>Visuotinius principus, kuriais turėtų vadovautis reklamos kūrimo įmonės, sukūrė ir pirmą kartą paskelbė pasaulinė reklamos kūrimo organizacijų grupė, kuri juos kartkartėmis atnaujindavo, kad atspindėtų dabartinę verslo situaciją. Nors pripažįstama, kad egz</w:t>
      </w:r>
      <w:r>
        <w:t>istuoja tam tikra regioninė verslo praktika, šie principai yra reklamos kūrimo verslo pagrindas visame pasaulyje.</w:t>
      </w:r>
    </w:p>
    <w:p w14:paraId="5AB657A3" w14:textId="77777777" w:rsidR="000501C2" w:rsidRDefault="000501C2">
      <w:pPr>
        <w:pStyle w:val="BodyText"/>
        <w:rPr>
          <w:sz w:val="26"/>
        </w:rPr>
      </w:pPr>
    </w:p>
    <w:p w14:paraId="5AB657A4" w14:textId="77777777" w:rsidR="000501C2" w:rsidRDefault="008B7527">
      <w:pPr>
        <w:pStyle w:val="BodyText"/>
        <w:spacing w:before="209" w:line="259" w:lineRule="auto"/>
        <w:ind w:left="100" w:right="721"/>
        <w:jc w:val="both"/>
      </w:pPr>
      <w:r>
        <w:t>Rinkodaros specialistai ir jų agentūros samdo reklamos kūrimo įmones, kad šios, pasitelkusios savo režisūros ir kūrimo patirtį, sukurtų reklamą, kuri visiškai išnaudotų kūrybinės idėjos potencialą ir sustiprintų rinkodaros koncepcijas bei įkvėptų joms gyvy</w:t>
      </w:r>
      <w:r>
        <w:t>bės.</w:t>
      </w:r>
    </w:p>
    <w:p w14:paraId="5AB657A5" w14:textId="77777777" w:rsidR="000501C2" w:rsidRDefault="000501C2">
      <w:pPr>
        <w:pStyle w:val="BodyText"/>
        <w:rPr>
          <w:sz w:val="21"/>
        </w:rPr>
      </w:pPr>
    </w:p>
    <w:p w14:paraId="5AB657A6" w14:textId="77777777" w:rsidR="000501C2" w:rsidRDefault="008B7527">
      <w:pPr>
        <w:pStyle w:val="BodyText"/>
        <w:spacing w:line="254" w:lineRule="auto"/>
        <w:ind w:left="100" w:right="734"/>
        <w:jc w:val="both"/>
      </w:pPr>
      <w:r>
        <w:t>Reklamos kūrimo įmonės yra pasiryžusios nuolat ieškoti naujų ir inovatyvių būdų, kaip tobulinti kūrybinį produktą, rasti veiksmingų sprendimų ir išlaikyti šviežią bei stiprų reklamos srities talentų rezervą.</w:t>
      </w:r>
    </w:p>
    <w:p w14:paraId="5AB657A7" w14:textId="77777777" w:rsidR="000501C2" w:rsidRDefault="000501C2">
      <w:pPr>
        <w:pStyle w:val="BodyText"/>
        <w:spacing w:before="4"/>
      </w:pPr>
    </w:p>
    <w:p w14:paraId="5AB657A8" w14:textId="77777777" w:rsidR="000501C2" w:rsidRDefault="008B7527">
      <w:pPr>
        <w:pStyle w:val="BodyText"/>
        <w:spacing w:line="254" w:lineRule="auto"/>
        <w:ind w:left="100" w:right="715"/>
        <w:jc w:val="both"/>
      </w:pPr>
      <w:r>
        <w:t>Tvirtas, aiškus ir sąžiningas verslo mode</w:t>
      </w:r>
      <w:r>
        <w:t>lis yra pagrindas kokybiškam kūrybiniam darbui, atitinkančiam kliento tikslus, todėl šiame dokumente aprašoma, kaip agentūros ir reklamos kūrimo įmonės gali geriausiai tai pasiekti.</w:t>
      </w:r>
    </w:p>
    <w:p w14:paraId="5AB657A9" w14:textId="77777777" w:rsidR="000501C2" w:rsidRDefault="000501C2">
      <w:pPr>
        <w:spacing w:line="254" w:lineRule="auto"/>
        <w:jc w:val="both"/>
        <w:sectPr w:rsidR="000501C2">
          <w:type w:val="continuous"/>
          <w:pgSz w:w="20480" w:h="15360" w:orient="landscape"/>
          <w:pgMar w:top="440" w:right="240" w:bottom="0" w:left="840" w:header="720" w:footer="720" w:gutter="0"/>
          <w:cols w:space="720"/>
        </w:sectPr>
      </w:pPr>
    </w:p>
    <w:p w14:paraId="5AB657AA" w14:textId="77777777" w:rsidR="000501C2" w:rsidRDefault="008B7527">
      <w:pPr>
        <w:pStyle w:val="BodyText"/>
        <w:spacing w:before="7"/>
      </w:pPr>
      <w:r>
        <w:lastRenderedPageBreak/>
        <w:pict w14:anchorId="5AB65804">
          <v:rect id="docshape2" o:spid="_x0000_s1027" style="position:absolute;margin-left:0;margin-top:0;width:1024pt;height:768pt;z-index:-15806464;mso-position-horizontal-relative:page;mso-position-vertical-relative:page" fillcolor="#ffeed9" stroked="f">
            <v:fill opacity="22873f"/>
            <w10:wrap anchorx="page" anchory="page"/>
          </v:rect>
        </w:pict>
      </w:r>
    </w:p>
    <w:p w14:paraId="5AB657AB" w14:textId="77777777" w:rsidR="000501C2" w:rsidRDefault="008B7527">
      <w:pPr>
        <w:spacing w:before="97"/>
        <w:ind w:left="300"/>
        <w:rPr>
          <w:b/>
        </w:rPr>
      </w:pPr>
      <w:r>
        <w:rPr>
          <w:b/>
        </w:rPr>
        <w:t>Visuotiniai bendradarbiavimo principai</w:t>
      </w:r>
    </w:p>
    <w:p w14:paraId="5AB657AC" w14:textId="77777777" w:rsidR="000501C2" w:rsidRDefault="000501C2">
      <w:pPr>
        <w:pStyle w:val="BodyText"/>
        <w:rPr>
          <w:b/>
          <w:sz w:val="26"/>
        </w:rPr>
      </w:pPr>
    </w:p>
    <w:p w14:paraId="5AB657AD" w14:textId="77777777" w:rsidR="000501C2" w:rsidRDefault="008B7527">
      <w:pPr>
        <w:pStyle w:val="ListParagraph"/>
        <w:numPr>
          <w:ilvl w:val="0"/>
          <w:numId w:val="1"/>
        </w:numPr>
        <w:tabs>
          <w:tab w:val="left" w:pos="566"/>
        </w:tabs>
        <w:spacing w:before="223"/>
        <w:ind w:hanging="266"/>
        <w:jc w:val="left"/>
      </w:pPr>
      <w:r>
        <w:t xml:space="preserve">Kliento tikslų </w:t>
      </w:r>
      <w:r>
        <w:t>įgyvendinimas</w:t>
      </w:r>
    </w:p>
    <w:p w14:paraId="5AB657AE" w14:textId="77777777" w:rsidR="000501C2" w:rsidRDefault="008B7527">
      <w:pPr>
        <w:pStyle w:val="BodyText"/>
        <w:spacing w:before="53" w:line="254" w:lineRule="auto"/>
        <w:ind w:left="300" w:right="676"/>
      </w:pPr>
      <w:r>
        <w:t>Kiekviena šalis suinteresuota, kad kliento lūkesčiai būtų patenkinti, nes komercinės produkcijos tikslas – pateikti klientui aukščiausios meninės ir techninės kokybės reklamą, atitinkančią jo lūkesčius kainos, laiko ir politikos atžvilgiu. To</w:t>
      </w:r>
      <w:r>
        <w:t>dėl svarbu, kad visi kliento lūkesčiai būtų realūs, pagrįsti, išsamiai atskleisti ir numatyti reklamos kūrimo sutartyje nuo pat projekto pradžios.</w:t>
      </w:r>
    </w:p>
    <w:p w14:paraId="5AB657AF" w14:textId="77777777" w:rsidR="000501C2" w:rsidRDefault="000501C2">
      <w:pPr>
        <w:pStyle w:val="BodyText"/>
        <w:spacing w:before="3"/>
      </w:pPr>
    </w:p>
    <w:p w14:paraId="5AB657B0" w14:textId="77777777" w:rsidR="000501C2" w:rsidRDefault="008B7527">
      <w:pPr>
        <w:pStyle w:val="BodyText"/>
        <w:spacing w:line="254" w:lineRule="auto"/>
        <w:ind w:left="300" w:right="676"/>
      </w:pPr>
      <w:r>
        <w:t>Agentūra, pasitelkiama atstovauti klientui, turi prisiimti vaidmenį ir atsakomybę, todėl jai turi būti sutei</w:t>
      </w:r>
      <w:r>
        <w:t>kta galimybė priimti sprendimus, išsakyti susirūpinimą keliančius klausimus ir tvirtinti pakeitimus bei perteklines išlaidas kūrimo procese.</w:t>
      </w:r>
    </w:p>
    <w:p w14:paraId="5AB657B1" w14:textId="77777777" w:rsidR="000501C2" w:rsidRDefault="000501C2">
      <w:pPr>
        <w:pStyle w:val="BodyText"/>
        <w:spacing w:before="11"/>
        <w:rPr>
          <w:sz w:val="21"/>
        </w:rPr>
      </w:pPr>
    </w:p>
    <w:p w14:paraId="5AB657B2" w14:textId="77777777" w:rsidR="000501C2" w:rsidRDefault="008B7527">
      <w:pPr>
        <w:pStyle w:val="BodyText"/>
        <w:ind w:left="300"/>
      </w:pPr>
      <w:r>
        <w:t>Abipusė pagarba, bendradarbiavimo dvasia ir profesionalumas galiausiai nulems kiekvieno projekto sėkmę.</w:t>
      </w:r>
    </w:p>
    <w:p w14:paraId="5AB657B3" w14:textId="77777777" w:rsidR="000501C2" w:rsidRDefault="000501C2">
      <w:pPr>
        <w:pStyle w:val="BodyText"/>
        <w:rPr>
          <w:sz w:val="36"/>
        </w:rPr>
      </w:pPr>
    </w:p>
    <w:p w14:paraId="5AB657B4" w14:textId="77777777" w:rsidR="000501C2" w:rsidRDefault="008B7527">
      <w:pPr>
        <w:pStyle w:val="ListParagraph"/>
        <w:numPr>
          <w:ilvl w:val="0"/>
          <w:numId w:val="1"/>
        </w:numPr>
        <w:tabs>
          <w:tab w:val="left" w:pos="566"/>
        </w:tabs>
        <w:ind w:hanging="266"/>
        <w:jc w:val="both"/>
      </w:pPr>
      <w:r>
        <w:t>Neatskleidimo sutartys</w:t>
      </w:r>
    </w:p>
    <w:p w14:paraId="5AB657B5" w14:textId="77777777" w:rsidR="000501C2" w:rsidRDefault="008B7527">
      <w:pPr>
        <w:pStyle w:val="BodyText"/>
        <w:spacing w:before="18" w:line="254" w:lineRule="auto"/>
        <w:ind w:left="300" w:right="500"/>
        <w:jc w:val="both"/>
      </w:pPr>
      <w:r>
        <w:t>Įprasta, kad reklamuotojai ir agentūros, norėdami išsaugoti tam tikros su projektu susijusios informacijos konfidencialumą, suda</w:t>
      </w:r>
      <w:r>
        <w:t>rydami sutartį reikalauja pasirašyti neatskleidimo sutartį. Neatskleidimo sutartys turi būti abipusės, nes reklamos kūrimo įmonės požiūris, informacija apie pasiūlymą ir intelektiniai patobulinimai yra specifiniai tam projektui, todėl subjektai, kurie praš</w:t>
      </w:r>
      <w:r>
        <w:t>o įmonės paslaugų, o galiausiai – bet kuris pirkėjo vardu dirbantis subjektas, juos taip pat turėtų laikyti konfidencialiais.</w:t>
      </w:r>
    </w:p>
    <w:p w14:paraId="5AB657B6" w14:textId="77777777" w:rsidR="000501C2" w:rsidRDefault="000501C2">
      <w:pPr>
        <w:pStyle w:val="BodyText"/>
        <w:spacing w:before="3"/>
        <w:rPr>
          <w:sz w:val="38"/>
        </w:rPr>
      </w:pPr>
    </w:p>
    <w:p w14:paraId="5AB657B7" w14:textId="77777777" w:rsidR="000501C2" w:rsidRDefault="008B7527">
      <w:pPr>
        <w:pStyle w:val="ListParagraph"/>
        <w:numPr>
          <w:ilvl w:val="0"/>
          <w:numId w:val="1"/>
        </w:numPr>
        <w:tabs>
          <w:tab w:val="left" w:pos="566"/>
        </w:tabs>
        <w:ind w:hanging="266"/>
        <w:jc w:val="both"/>
      </w:pPr>
      <w:r>
        <w:t>Ne daugiau kaip trys pasiūlymai</w:t>
      </w:r>
    </w:p>
    <w:p w14:paraId="5AB657B8" w14:textId="77777777" w:rsidR="000501C2" w:rsidRDefault="008B7527">
      <w:pPr>
        <w:pStyle w:val="BodyText"/>
        <w:spacing w:before="23" w:line="252" w:lineRule="auto"/>
        <w:ind w:left="300" w:right="502"/>
        <w:jc w:val="both"/>
      </w:pPr>
      <w:r>
        <w:t>Į komercinio projekto konkursą turėtų būti pakviestos ne daugiau kaip trys reklamos kūrimo įmonės</w:t>
      </w:r>
      <w:r>
        <w:t>. Pasiūlymus teikiantys subjektai turi būti informuoti apie kitus dalyvaujančius subjektus, nes tai padeda formuoti pageidaujamo rezultato lūkesčius.  Jei dėl to paties projekto pasiūlymą pateikti bus prašoma daugiau nei trijų įmonių, visiems dalyviams tur</w:t>
      </w:r>
      <w:r>
        <w:t>i būti pranešta iš anksto (arba kai tokia situacija susiklosto), kad įmonės galėtų geriau įvertinti, ar jos norėtų dalyvauti konkurse.</w:t>
      </w:r>
    </w:p>
    <w:p w14:paraId="5AB657B9" w14:textId="77777777" w:rsidR="000501C2" w:rsidRDefault="000501C2">
      <w:pPr>
        <w:pStyle w:val="BodyText"/>
        <w:rPr>
          <w:sz w:val="37"/>
        </w:rPr>
      </w:pPr>
    </w:p>
    <w:p w14:paraId="5AB657BA" w14:textId="77777777" w:rsidR="000501C2" w:rsidRDefault="008B7527">
      <w:pPr>
        <w:pStyle w:val="ListParagraph"/>
        <w:numPr>
          <w:ilvl w:val="0"/>
          <w:numId w:val="1"/>
        </w:numPr>
        <w:tabs>
          <w:tab w:val="left" w:pos="566"/>
        </w:tabs>
        <w:ind w:hanging="266"/>
        <w:jc w:val="both"/>
      </w:pPr>
      <w:r>
        <w:t>Rašytinė sutartis</w:t>
      </w:r>
    </w:p>
    <w:p w14:paraId="5AB657BB" w14:textId="77777777" w:rsidR="000501C2" w:rsidRDefault="008B7527">
      <w:pPr>
        <w:pStyle w:val="BodyText"/>
        <w:spacing w:before="23" w:line="254" w:lineRule="auto"/>
        <w:ind w:left="300" w:right="497"/>
        <w:jc w:val="both"/>
      </w:pPr>
      <w:r>
        <w:t>Sutartis su reklamos kūrimo įmone turi būti sudaroma raštu, kad būtų aiškiai suprantama, ką reklamos k</w:t>
      </w:r>
      <w:r>
        <w:t>ūrimo įmonė kuria reklamos agentūrai (reklamos užsakovo vardu)*. Sutartyje turi būti aiškiai nustatytos kiekvienos šalies teisės ir pareigos. Sutartimi užtikrinama, kad tai, ko agentūra tikisi iš reklamos kūrimo įmonės, ir tai, ką ši tikisi pateikti agentū</w:t>
      </w:r>
      <w:r>
        <w:t>rai, sutampa. Tuomet šalys teisiškai įsipareigoja laikytis sutartų sąlygų. Sutartyje turi būti numatytas tarpininkavimo ir arbitražo procesas dėl pagal sutartį kylančių ginčų.</w:t>
      </w:r>
    </w:p>
    <w:p w14:paraId="5AB657BC" w14:textId="77777777" w:rsidR="000501C2" w:rsidRDefault="000501C2">
      <w:pPr>
        <w:pStyle w:val="BodyText"/>
        <w:rPr>
          <w:sz w:val="26"/>
        </w:rPr>
      </w:pPr>
    </w:p>
    <w:p w14:paraId="5AB657BD" w14:textId="77777777" w:rsidR="000501C2" w:rsidRDefault="000501C2">
      <w:pPr>
        <w:pStyle w:val="BodyText"/>
        <w:rPr>
          <w:sz w:val="26"/>
        </w:rPr>
      </w:pPr>
    </w:p>
    <w:p w14:paraId="5AB657BE" w14:textId="77777777" w:rsidR="000501C2" w:rsidRDefault="000501C2">
      <w:pPr>
        <w:pStyle w:val="BodyText"/>
        <w:rPr>
          <w:sz w:val="26"/>
        </w:rPr>
      </w:pPr>
    </w:p>
    <w:p w14:paraId="5AB657BF" w14:textId="77777777" w:rsidR="000501C2" w:rsidRDefault="000501C2">
      <w:pPr>
        <w:pStyle w:val="BodyText"/>
        <w:spacing w:before="7"/>
        <w:rPr>
          <w:sz w:val="28"/>
        </w:rPr>
      </w:pPr>
    </w:p>
    <w:p w14:paraId="5AB657C0" w14:textId="77777777" w:rsidR="000501C2" w:rsidRDefault="008B7527">
      <w:pPr>
        <w:pStyle w:val="BodyText"/>
        <w:spacing w:line="254" w:lineRule="auto"/>
        <w:ind w:left="300" w:right="503"/>
        <w:jc w:val="both"/>
      </w:pPr>
      <w:r>
        <w:t>* Šiame dokumente daroma prielaida, kad reklamos agentūra dirba kaip reklamu</w:t>
      </w:r>
      <w:r>
        <w:t>otojo atstovė; tais atvejais, kai agentūra nedalyvauja arba dalyvauja, bet dirba ne kaip atstovė, vaidmenys gali keistis, tačiau „pirkėjo“ ir „pardavėjo“ esmė išlieka pastovi.*</w:t>
      </w:r>
    </w:p>
    <w:p w14:paraId="5AB657C1" w14:textId="77777777" w:rsidR="000501C2" w:rsidRDefault="000501C2">
      <w:pPr>
        <w:pStyle w:val="BodyText"/>
        <w:rPr>
          <w:sz w:val="26"/>
        </w:rPr>
      </w:pPr>
    </w:p>
    <w:p w14:paraId="5AB657C2" w14:textId="77777777" w:rsidR="000501C2" w:rsidRDefault="000501C2">
      <w:pPr>
        <w:pStyle w:val="BodyText"/>
        <w:rPr>
          <w:sz w:val="26"/>
        </w:rPr>
      </w:pPr>
    </w:p>
    <w:p w14:paraId="5AB657C3" w14:textId="77777777" w:rsidR="000501C2" w:rsidRDefault="008B7527">
      <w:pPr>
        <w:spacing w:before="233"/>
        <w:ind w:right="218"/>
        <w:jc w:val="center"/>
        <w:rPr>
          <w:rFonts w:ascii="Arial"/>
          <w:sz w:val="18"/>
        </w:rPr>
      </w:pPr>
      <w:r>
        <w:rPr>
          <w:rFonts w:ascii="Arial"/>
          <w:sz w:val="18"/>
        </w:rPr>
        <w:t>1</w:t>
      </w:r>
    </w:p>
    <w:p w14:paraId="5AB657C4" w14:textId="77777777" w:rsidR="000501C2" w:rsidRDefault="000501C2">
      <w:pPr>
        <w:jc w:val="center"/>
        <w:rPr>
          <w:rFonts w:ascii="Arial"/>
          <w:sz w:val="18"/>
        </w:rPr>
        <w:sectPr w:rsidR="000501C2">
          <w:pgSz w:w="20480" w:h="15360" w:orient="landscape"/>
          <w:pgMar w:top="1460" w:right="240" w:bottom="280" w:left="840" w:header="720" w:footer="720" w:gutter="0"/>
          <w:cols w:space="720"/>
        </w:sectPr>
      </w:pPr>
    </w:p>
    <w:p w14:paraId="5AB657C5" w14:textId="77777777" w:rsidR="000501C2" w:rsidRDefault="008B7527">
      <w:pPr>
        <w:pStyle w:val="ListParagraph"/>
        <w:numPr>
          <w:ilvl w:val="0"/>
          <w:numId w:val="1"/>
        </w:numPr>
        <w:tabs>
          <w:tab w:val="left" w:pos="571"/>
        </w:tabs>
        <w:spacing w:before="70"/>
        <w:ind w:left="570" w:hanging="271"/>
        <w:jc w:val="both"/>
      </w:pPr>
      <w:r>
        <w:lastRenderedPageBreak/>
        <w:t>Su reklamos kūrimo įmonėmis turi būti sudaromos sutartys pagal fiksuotą pasiūlymą arba pagal principą „kaina plius“.</w:t>
      </w:r>
    </w:p>
    <w:p w14:paraId="5AB657C6" w14:textId="77777777" w:rsidR="000501C2" w:rsidRDefault="008B7527">
      <w:pPr>
        <w:pStyle w:val="BodyText"/>
        <w:spacing w:before="13"/>
        <w:ind w:left="300"/>
        <w:jc w:val="both"/>
      </w:pPr>
      <w:r>
        <w:t>Fiksuotas pasiūlymas – tai sutarta kaina už atliktą darbą, kurią agentūra (arba reklamos užsakovas) moka reklamos kūrimo įmonei.</w:t>
      </w:r>
    </w:p>
    <w:p w14:paraId="5AB657C7" w14:textId="77777777" w:rsidR="000501C2" w:rsidRDefault="000501C2">
      <w:pPr>
        <w:pStyle w:val="BodyText"/>
        <w:spacing w:before="8"/>
        <w:rPr>
          <w:sz w:val="21"/>
        </w:rPr>
      </w:pPr>
    </w:p>
    <w:p w14:paraId="5AB657C8" w14:textId="77777777" w:rsidR="000501C2" w:rsidRDefault="008B7527">
      <w:pPr>
        <w:pStyle w:val="BodyText"/>
        <w:spacing w:line="254" w:lineRule="auto"/>
        <w:ind w:left="300" w:right="512"/>
        <w:jc w:val="both"/>
      </w:pPr>
      <w:r>
        <w:t>Pagal fik</w:t>
      </w:r>
      <w:r>
        <w:t>suotą pasiūlymą reklamos kūrimo įmonė prisiima visą su kūrimu susijusią riziką (išskyrus sutartyje nurodytas išimtis, susijusias su agentūros pasirinktais teikti dalykais ir (arba) personalu, oro sąlygomis ir nenugalimos jėgos aplinkybėmis), o mokestis išl</w:t>
      </w:r>
      <w:r>
        <w:t>ieka toks pat – fiksuota suma. Šis metodas suteikia reklamos kūrimo įmonei didžiausią laisvę įgyvendinti savo biudžetą, o reklamuotojui – didžiausią komfortą žinant nustatytą biudžetą.</w:t>
      </w:r>
    </w:p>
    <w:p w14:paraId="5AB657C9" w14:textId="77777777" w:rsidR="000501C2" w:rsidRDefault="000501C2">
      <w:pPr>
        <w:pStyle w:val="BodyText"/>
        <w:spacing w:before="10"/>
        <w:rPr>
          <w:sz w:val="21"/>
        </w:rPr>
      </w:pPr>
    </w:p>
    <w:p w14:paraId="5AB657CA" w14:textId="77777777" w:rsidR="000501C2" w:rsidRDefault="008B7527">
      <w:pPr>
        <w:pStyle w:val="BodyText"/>
        <w:spacing w:line="254" w:lineRule="auto"/>
        <w:ind w:left="300" w:right="490"/>
        <w:jc w:val="both"/>
      </w:pPr>
      <w:r>
        <w:t>Kai yra daug nežinomų kintamųjų, dėl kurių sunku įvertinti darbą, agen</w:t>
      </w:r>
      <w:r>
        <w:t xml:space="preserve">tūra arba reklamos kūrimo įmonė gali rekomenduoti taikyti kainos ir fiksuoto mokesčio metodą (vadinamą „kaina plius fiksuotas mokestis“). Pagal „kaina plius“ metodą agentūra sumoka faktines reklamos kūrimo išlaidas (kurios gali būti didesnės arba mažesnės </w:t>
      </w:r>
      <w:r>
        <w:t>už pradinę sąmatą) ir iš anksto nustatytą reklamos kūrimo mokestį (paprastai tai būna procentinis „antkainis“ nuo geriausios sąmatos). Kiekvienu iš šių scenarijų abu subjektai yra apsaugoti nuo dalykų, kurių negalima tiksliai įvertinti.</w:t>
      </w:r>
    </w:p>
    <w:p w14:paraId="5AB657CB" w14:textId="77777777" w:rsidR="000501C2" w:rsidRDefault="000501C2">
      <w:pPr>
        <w:pStyle w:val="BodyText"/>
        <w:spacing w:before="2"/>
      </w:pPr>
    </w:p>
    <w:p w14:paraId="5AB657CC" w14:textId="77777777" w:rsidR="000501C2" w:rsidRDefault="008B7527">
      <w:pPr>
        <w:pStyle w:val="BodyText"/>
        <w:spacing w:line="254" w:lineRule="auto"/>
        <w:ind w:left="300" w:right="522"/>
        <w:jc w:val="both"/>
      </w:pPr>
      <w:r>
        <w:t>Bet kurioje sistem</w:t>
      </w:r>
      <w:r>
        <w:t>oje turi būti sudarytas mokėjimo grafikas, dėl kurio susitaria ir kurį garantuoja visos dalyvaujančios šalys, pripažįstant, kad laiku atliekami mokėjimai yra sutarties sąlyga.</w:t>
      </w:r>
    </w:p>
    <w:p w14:paraId="5AB657CD" w14:textId="77777777" w:rsidR="000501C2" w:rsidRDefault="000501C2">
      <w:pPr>
        <w:pStyle w:val="BodyText"/>
        <w:spacing w:before="11"/>
        <w:rPr>
          <w:sz w:val="21"/>
        </w:rPr>
      </w:pPr>
    </w:p>
    <w:p w14:paraId="5AB657CE" w14:textId="77777777" w:rsidR="000501C2" w:rsidRDefault="008B7527">
      <w:pPr>
        <w:pStyle w:val="BodyText"/>
        <w:spacing w:line="254" w:lineRule="auto"/>
        <w:ind w:left="300" w:right="517"/>
        <w:jc w:val="both"/>
      </w:pPr>
      <w:r>
        <w:t>Pastaba dėl „kaina plius“ scenarijaus: jei atliekamas sąnaudų auditas (o audita</w:t>
      </w:r>
      <w:r>
        <w:t>s tinkamas tik „kaina plius“ pasiūlymo atveju), tokio audito sąnaudos ir galutinio apmokėjimo terminas turi atsispindėti ir būti įtraukti į reklamos kūrimo sąnaudas.</w:t>
      </w:r>
    </w:p>
    <w:p w14:paraId="5AB657CF" w14:textId="77777777" w:rsidR="000501C2" w:rsidRDefault="000501C2">
      <w:pPr>
        <w:pStyle w:val="BodyText"/>
        <w:spacing w:before="5"/>
      </w:pPr>
    </w:p>
    <w:p w14:paraId="5AB657D0" w14:textId="77777777" w:rsidR="000501C2" w:rsidRDefault="008B7527">
      <w:pPr>
        <w:pStyle w:val="ListParagraph"/>
        <w:numPr>
          <w:ilvl w:val="0"/>
          <w:numId w:val="1"/>
        </w:numPr>
        <w:tabs>
          <w:tab w:val="left" w:pos="571"/>
        </w:tabs>
        <w:ind w:left="570" w:hanging="271"/>
        <w:jc w:val="both"/>
      </w:pPr>
      <w:r>
        <w:t>Avansas</w:t>
      </w:r>
    </w:p>
    <w:p w14:paraId="5AB657D1" w14:textId="77777777" w:rsidR="000501C2" w:rsidRDefault="008B7527">
      <w:pPr>
        <w:pStyle w:val="BodyText"/>
        <w:spacing w:before="18" w:line="254" w:lineRule="auto"/>
        <w:ind w:left="300" w:right="495"/>
        <w:jc w:val="both"/>
      </w:pPr>
      <w:r>
        <w:t xml:space="preserve">Reklamos kūrimo įmonės turi gauti didelę dalį (50–75 proc.) biudžeto likus ne mažiau kaip septynioms dienoms iki pirmosios filmavimo dienos. Tai reiškia, kad didžioji biudžeto dalis turi būti išmokėta prieš pradedant kurti reklamą arba iš karto po to, kad </w:t>
      </w:r>
      <w:r>
        <w:t>būtų laikomasi visų įsipareigojimų pagal galiojančius darbo įstatymus.</w:t>
      </w:r>
    </w:p>
    <w:p w14:paraId="5AB657D2" w14:textId="77777777" w:rsidR="000501C2" w:rsidRDefault="000501C2">
      <w:pPr>
        <w:pStyle w:val="BodyText"/>
        <w:spacing w:before="3"/>
        <w:rPr>
          <w:sz w:val="20"/>
        </w:rPr>
      </w:pPr>
    </w:p>
    <w:p w14:paraId="5AB657D3" w14:textId="77777777" w:rsidR="000501C2" w:rsidRDefault="008B7527">
      <w:pPr>
        <w:pStyle w:val="ListParagraph"/>
        <w:numPr>
          <w:ilvl w:val="0"/>
          <w:numId w:val="1"/>
        </w:numPr>
        <w:tabs>
          <w:tab w:val="left" w:pos="571"/>
        </w:tabs>
        <w:ind w:left="570" w:hanging="271"/>
        <w:jc w:val="both"/>
      </w:pPr>
      <w:r>
        <w:t>Palūkanos už pradelstus mokėjimus</w:t>
      </w:r>
    </w:p>
    <w:p w14:paraId="5AB657D4" w14:textId="77777777" w:rsidR="000501C2" w:rsidRDefault="008B7527">
      <w:pPr>
        <w:pStyle w:val="BodyText"/>
        <w:spacing w:before="23" w:line="254" w:lineRule="auto"/>
        <w:ind w:left="300" w:right="504"/>
        <w:jc w:val="both"/>
      </w:pPr>
      <w:r>
        <w:t xml:space="preserve">Sutartyse turi būti numatyta, kad jei agentūra neatsiskaito su reklamos kūrimo įmone pagal sutartį, turi būti mokamos palūkanos, kad būtų atsižvelgta </w:t>
      </w:r>
      <w:r>
        <w:t>į tai, jog reklamos kūrimo įmonė turės finansuoti personalo ir įrangos išlaidas, kurias ji sumokėjo arba įsipareigojo sumokėti. Palūkanų normos sąlygos turi būti aiškiai suformuluotos ir suprantamos kiekvienai šaliai.</w:t>
      </w:r>
    </w:p>
    <w:p w14:paraId="5AB657D5" w14:textId="77777777" w:rsidR="000501C2" w:rsidRDefault="008B7527">
      <w:pPr>
        <w:pStyle w:val="ListParagraph"/>
        <w:numPr>
          <w:ilvl w:val="0"/>
          <w:numId w:val="1"/>
        </w:numPr>
        <w:tabs>
          <w:tab w:val="left" w:pos="701"/>
        </w:tabs>
        <w:spacing w:before="209"/>
        <w:ind w:left="700" w:hanging="401"/>
        <w:jc w:val="both"/>
      </w:pPr>
      <w:r>
        <w:t>Už palūkanų apmokėjimą turi būti atsak</w:t>
      </w:r>
      <w:r>
        <w:t>inga reklamos kūrimo įmonę samdanti bendrovė.</w:t>
      </w:r>
    </w:p>
    <w:p w14:paraId="5AB657D6" w14:textId="77777777" w:rsidR="000501C2" w:rsidRDefault="008B7527">
      <w:pPr>
        <w:pStyle w:val="BodyText"/>
        <w:spacing w:before="223" w:line="242" w:lineRule="auto"/>
        <w:ind w:left="300" w:right="676"/>
      </w:pPr>
      <w:r>
        <w:t>Kai kuriose šalyse kai kurios agentūros siekia pasitelkti reklamos kūrimo įmones remdamosi nuostata, kad jos privalo sumokėti už produkciją tik tada, kai klientas joms sumoka („nuoseklioji atsakomybė“). Tai nes</w:t>
      </w:r>
      <w:r>
        <w:t>ąžininga ir neteisinga. Reklamos kūrimo įmonės nekontroliuoja ir net nežino apie agentūros finansinius susitarimus su klientais. Agentūra turi tai valdyti ir susitarti su reklamos kūrimo įmone sumokėti biudžetą be sąlygų, kurios perkeltų pasekmes kliento n</w:t>
      </w:r>
      <w:r>
        <w:t>emokumo atveju reklamos kūrimo įmonei.</w:t>
      </w:r>
    </w:p>
    <w:p w14:paraId="5AB657D7" w14:textId="77777777" w:rsidR="000501C2" w:rsidRDefault="000501C2">
      <w:pPr>
        <w:pStyle w:val="BodyText"/>
        <w:spacing w:before="6"/>
        <w:rPr>
          <w:sz w:val="20"/>
        </w:rPr>
      </w:pPr>
    </w:p>
    <w:p w14:paraId="5AB657D8" w14:textId="77777777" w:rsidR="000501C2" w:rsidRDefault="008B7527">
      <w:pPr>
        <w:pStyle w:val="ListParagraph"/>
        <w:numPr>
          <w:ilvl w:val="0"/>
          <w:numId w:val="1"/>
        </w:numPr>
        <w:tabs>
          <w:tab w:val="left" w:pos="571"/>
        </w:tabs>
        <w:spacing w:before="1"/>
        <w:ind w:left="570" w:hanging="271"/>
        <w:jc w:val="both"/>
      </w:pPr>
      <w:r>
        <w:t>Turi būti aiškiai išdėstytos sutarties nutraukimo nuostatos.</w:t>
      </w:r>
    </w:p>
    <w:p w14:paraId="5AB657D9" w14:textId="77777777" w:rsidR="000501C2" w:rsidRDefault="008B7527">
      <w:pPr>
        <w:pStyle w:val="BodyText"/>
        <w:spacing w:before="22" w:line="254" w:lineRule="auto"/>
        <w:ind w:left="300" w:right="510"/>
        <w:jc w:val="both"/>
      </w:pPr>
      <w:r>
        <w:t>Dėl atšaukimo nuostatų reikia susitarti iš anksto, kad agentūrai atšaukus sutartį (ne dėl to, kad reklamos kūrimo įmonė nevykdo įsipareigojimų), reklamos k</w:t>
      </w:r>
      <w:r>
        <w:t>ūrimo įmonei turi būti sumokėtos visos jos patirtos ir įsipareigotos išlaidos, taip pat mokesčiai ir antkainiai, kurie deramai kompensuotų reklamos kūrimo įmonei jos atliktą darbą, sugaištą laiką ir kitas prarastas galimybes.</w:t>
      </w:r>
    </w:p>
    <w:p w14:paraId="5AB657DA" w14:textId="77777777" w:rsidR="000501C2" w:rsidRDefault="000501C2">
      <w:pPr>
        <w:pStyle w:val="BodyText"/>
        <w:spacing w:before="4"/>
        <w:rPr>
          <w:sz w:val="20"/>
        </w:rPr>
      </w:pPr>
    </w:p>
    <w:p w14:paraId="5AB657DB" w14:textId="77777777" w:rsidR="000501C2" w:rsidRDefault="008B7527">
      <w:pPr>
        <w:pStyle w:val="ListParagraph"/>
        <w:numPr>
          <w:ilvl w:val="0"/>
          <w:numId w:val="1"/>
        </w:numPr>
        <w:tabs>
          <w:tab w:val="left" w:pos="721"/>
        </w:tabs>
        <w:ind w:left="720" w:hanging="421"/>
        <w:jc w:val="both"/>
      </w:pPr>
      <w:r>
        <w:t>Tiekėjų pasirinkimas</w:t>
      </w:r>
    </w:p>
    <w:p w14:paraId="5AB657DC" w14:textId="77777777" w:rsidR="000501C2" w:rsidRDefault="008B7527">
      <w:pPr>
        <w:pStyle w:val="BodyText"/>
        <w:spacing w:before="28" w:line="252" w:lineRule="auto"/>
        <w:ind w:left="300" w:right="499"/>
        <w:jc w:val="both"/>
      </w:pPr>
      <w:r>
        <w:t xml:space="preserve">Kadangi reklamos kūrimo įmonė yra atsakinga už tiekėjo teikiamas paslaugas ir galiausiai už galutinį produktą, ji turi visiškai kontroliuoti tiekėjų, įskaitant paslaugų ir įrangos įmones, pasirinkimą. Reklamos kūrimo įmonė neturi būti </w:t>
      </w:r>
      <w:r>
        <w:t>atsakinga už tiekėjus, kuriuos pasiūlo agentūra (kai to reikalauja tam tikros produkto ar prekės ženklo specifikacijos).</w:t>
      </w:r>
    </w:p>
    <w:p w14:paraId="5AB657DD" w14:textId="77777777" w:rsidR="000501C2" w:rsidRDefault="000501C2">
      <w:pPr>
        <w:spacing w:line="252" w:lineRule="auto"/>
        <w:jc w:val="both"/>
        <w:sectPr w:rsidR="000501C2">
          <w:pgSz w:w="20480" w:h="15360" w:orient="landscape"/>
          <w:pgMar w:top="480" w:right="240" w:bottom="280" w:left="840" w:header="720" w:footer="720" w:gutter="0"/>
          <w:cols w:space="720"/>
        </w:sectPr>
      </w:pPr>
    </w:p>
    <w:p w14:paraId="5AB657DE" w14:textId="77777777" w:rsidR="000501C2" w:rsidRDefault="008B7527">
      <w:pPr>
        <w:pStyle w:val="ListParagraph"/>
        <w:numPr>
          <w:ilvl w:val="0"/>
          <w:numId w:val="1"/>
        </w:numPr>
        <w:tabs>
          <w:tab w:val="left" w:pos="1041"/>
        </w:tabs>
        <w:spacing w:before="65"/>
        <w:ind w:left="1040" w:hanging="406"/>
        <w:jc w:val="both"/>
      </w:pPr>
      <w:r>
        <w:lastRenderedPageBreak/>
        <w:pict w14:anchorId="5AB65805">
          <v:rect id="docshape3" o:spid="_x0000_s1026" style="position:absolute;left:0;text-align:left;margin-left:0;margin-top:0;width:1024pt;height:768.15pt;z-index:-15805952;mso-position-horizontal-relative:page;mso-position-vertical-relative:page" fillcolor="#ffeed9" stroked="f">
            <v:fill opacity="22873f"/>
            <w10:wrap anchorx="page" anchory="page"/>
          </v:rect>
        </w:pict>
      </w:r>
      <w:r>
        <w:t>Įvairovė</w:t>
      </w:r>
    </w:p>
    <w:p w14:paraId="5AB657DF" w14:textId="77777777" w:rsidR="000501C2" w:rsidRDefault="008B7527">
      <w:pPr>
        <w:pStyle w:val="BodyText"/>
        <w:spacing w:before="8" w:line="244" w:lineRule="auto"/>
        <w:ind w:left="635" w:right="916"/>
        <w:jc w:val="both"/>
      </w:pPr>
      <w:r>
        <w:t>Esame įsipareigoję kurti įtraukią, visiems prieinamą ir iš tiesų visoms visuomenės grupėms atstovaujančią dar</w:t>
      </w:r>
      <w:r>
        <w:t>bo jėgą. Mums svarbu ne tik įdarbinti nepakankamai atstovaujamoms grupėms priklausančius darbuotojus, bet ir išlaikyti jų pozicijas mūsų darbo vietose, kuriant saugią ir palankią darbo aplinką. Tikime, kad didesnė įvairovė yra ne tik socialiai atsakingas ž</w:t>
      </w:r>
      <w:r>
        <w:t>ingsnis, bet ir labai svarbi plėtojant mūsų kūrybinius pasiūlymus ir bendraujant su kiekviena visuomenės dalimi, kad jos būtų naudingos klientams ir agentūroms, su kuriomis dirbame.</w:t>
      </w:r>
    </w:p>
    <w:p w14:paraId="5AB657E0" w14:textId="77777777" w:rsidR="000501C2" w:rsidRDefault="000501C2">
      <w:pPr>
        <w:pStyle w:val="BodyText"/>
        <w:rPr>
          <w:sz w:val="26"/>
        </w:rPr>
      </w:pPr>
    </w:p>
    <w:p w14:paraId="5AB657E1" w14:textId="77777777" w:rsidR="000501C2" w:rsidRDefault="008B7527">
      <w:pPr>
        <w:pStyle w:val="ListParagraph"/>
        <w:numPr>
          <w:ilvl w:val="0"/>
          <w:numId w:val="1"/>
        </w:numPr>
        <w:tabs>
          <w:tab w:val="left" w:pos="1106"/>
        </w:tabs>
        <w:spacing w:before="192"/>
        <w:ind w:left="1105" w:hanging="471"/>
        <w:jc w:val="both"/>
      </w:pPr>
      <w:r>
        <w:t>Aplinka</w:t>
      </w:r>
    </w:p>
    <w:p w14:paraId="5AB657E2" w14:textId="77777777" w:rsidR="000501C2" w:rsidRDefault="008B7527">
      <w:pPr>
        <w:pStyle w:val="BodyText"/>
        <w:spacing w:before="3"/>
        <w:ind w:left="635"/>
      </w:pPr>
      <w:r>
        <w:t>Reklamos kūrimo įmonė, agentūra ir klientas turi įsipareigoti kuo</w:t>
      </w:r>
      <w:r>
        <w:t xml:space="preserve"> labiau sumažinti reklamos kūrimo poveikį aplinkai.</w:t>
      </w:r>
    </w:p>
    <w:p w14:paraId="5AB657E3" w14:textId="77777777" w:rsidR="000501C2" w:rsidRDefault="000501C2">
      <w:pPr>
        <w:pStyle w:val="BodyText"/>
        <w:spacing w:before="11"/>
        <w:rPr>
          <w:sz w:val="20"/>
        </w:rPr>
      </w:pPr>
    </w:p>
    <w:p w14:paraId="5AB657E4" w14:textId="77777777" w:rsidR="000501C2" w:rsidRDefault="008B7527">
      <w:pPr>
        <w:pStyle w:val="BodyText"/>
        <w:spacing w:line="249" w:lineRule="auto"/>
        <w:ind w:left="635" w:right="867"/>
        <w:jc w:val="both"/>
      </w:pPr>
      <w:r>
        <w:t>Pirmiausia reikia įvertinti pagrindinių reklamos kūrimo veiksnių poveikį aplinkai: komandos dydį, dienų skaičių, keliones (ypač skrydžių skaičių ir atstumą) ir maitinimą, kad filmavimą būtų galima suplan</w:t>
      </w:r>
      <w:r>
        <w:t>uoti taip, jog jo poveikis aplinkai būtų kuo mažesnis.</w:t>
      </w:r>
    </w:p>
    <w:p w14:paraId="5AB657E5" w14:textId="77777777" w:rsidR="000501C2" w:rsidRDefault="000501C2">
      <w:pPr>
        <w:pStyle w:val="BodyText"/>
        <w:spacing w:before="6"/>
        <w:rPr>
          <w:sz w:val="21"/>
        </w:rPr>
      </w:pPr>
    </w:p>
    <w:p w14:paraId="5AB657E6" w14:textId="77777777" w:rsidR="000501C2" w:rsidRDefault="008B7527">
      <w:pPr>
        <w:pStyle w:val="BodyText"/>
        <w:ind w:left="635" w:right="5854"/>
      </w:pPr>
      <w:r>
        <w:t>Kuriant reklamą turi būti imamasi visų įmanomų priemonių, kad būtų kuo labiau sumažintas poveikis aplinkai, o išliekantis anglies pėdsakas turi būti kompensuojamas.</w:t>
      </w:r>
    </w:p>
    <w:p w14:paraId="5AB657E7" w14:textId="77777777" w:rsidR="000501C2" w:rsidRDefault="000501C2">
      <w:pPr>
        <w:pStyle w:val="BodyText"/>
        <w:rPr>
          <w:sz w:val="26"/>
        </w:rPr>
      </w:pPr>
    </w:p>
    <w:p w14:paraId="5AB657E8" w14:textId="77777777" w:rsidR="000501C2" w:rsidRDefault="000501C2">
      <w:pPr>
        <w:pStyle w:val="BodyText"/>
        <w:rPr>
          <w:sz w:val="26"/>
        </w:rPr>
      </w:pPr>
    </w:p>
    <w:p w14:paraId="5AB657E9" w14:textId="77777777" w:rsidR="000501C2" w:rsidRDefault="000501C2">
      <w:pPr>
        <w:pStyle w:val="BodyText"/>
        <w:rPr>
          <w:sz w:val="26"/>
        </w:rPr>
      </w:pPr>
    </w:p>
    <w:p w14:paraId="5AB657EA" w14:textId="77777777" w:rsidR="000501C2" w:rsidRDefault="000501C2">
      <w:pPr>
        <w:pStyle w:val="BodyText"/>
        <w:rPr>
          <w:sz w:val="26"/>
        </w:rPr>
      </w:pPr>
    </w:p>
    <w:p w14:paraId="5AB657EB" w14:textId="77777777" w:rsidR="000501C2" w:rsidRDefault="000501C2">
      <w:pPr>
        <w:pStyle w:val="BodyText"/>
        <w:rPr>
          <w:sz w:val="26"/>
        </w:rPr>
      </w:pPr>
    </w:p>
    <w:p w14:paraId="5AB657EC" w14:textId="77777777" w:rsidR="000501C2" w:rsidRDefault="000501C2">
      <w:pPr>
        <w:pStyle w:val="BodyText"/>
        <w:spacing w:before="7"/>
        <w:rPr>
          <w:sz w:val="29"/>
        </w:rPr>
      </w:pPr>
    </w:p>
    <w:p w14:paraId="5AB657ED" w14:textId="77777777" w:rsidR="000501C2" w:rsidRDefault="008B7527">
      <w:pPr>
        <w:ind w:left="8667"/>
        <w:rPr>
          <w:b/>
          <w:sz w:val="20"/>
        </w:rPr>
      </w:pPr>
      <w:r>
        <w:rPr>
          <w:b/>
          <w:sz w:val="20"/>
        </w:rPr>
        <w:t>Visuotinius bendradarbiavimo principus patvirtino šios komercinės gamintojų asociacij</w:t>
      </w:r>
      <w:r>
        <w:rPr>
          <w:b/>
          <w:sz w:val="20"/>
        </w:rPr>
        <w:t>os:</w:t>
      </w:r>
    </w:p>
    <w:p w14:paraId="5AB657EE" w14:textId="77777777" w:rsidR="000501C2" w:rsidRDefault="000501C2">
      <w:pPr>
        <w:pStyle w:val="BodyText"/>
        <w:rPr>
          <w:b/>
          <w:sz w:val="24"/>
        </w:rPr>
      </w:pPr>
    </w:p>
    <w:p w14:paraId="5AB657EF" w14:textId="77777777" w:rsidR="000501C2" w:rsidRDefault="000501C2">
      <w:pPr>
        <w:pStyle w:val="BodyText"/>
        <w:rPr>
          <w:b/>
          <w:sz w:val="24"/>
        </w:rPr>
      </w:pPr>
    </w:p>
    <w:p w14:paraId="5AB657F0" w14:textId="77777777" w:rsidR="000501C2" w:rsidRDefault="008B7527" w:rsidP="008B7527">
      <w:pPr>
        <w:spacing w:before="162" w:line="244" w:lineRule="auto"/>
        <w:ind w:right="371"/>
        <w:jc w:val="right"/>
        <w:rPr>
          <w:b/>
          <w:sz w:val="20"/>
        </w:rPr>
      </w:pPr>
      <w:r>
        <w:rPr>
          <w:b/>
          <w:sz w:val="20"/>
        </w:rPr>
        <w:t>AAFP, Austrija</w:t>
      </w:r>
      <w:r>
        <w:rPr>
          <w:b/>
          <w:sz w:val="20"/>
        </w:rPr>
        <w:br/>
        <w:t>BCPB, Belgija</w:t>
      </w:r>
    </w:p>
    <w:p w14:paraId="5AB657F1" w14:textId="77777777" w:rsidR="000501C2" w:rsidRDefault="008B7527" w:rsidP="008B7527">
      <w:pPr>
        <w:spacing w:before="5"/>
        <w:ind w:right="385"/>
        <w:jc w:val="right"/>
        <w:rPr>
          <w:b/>
          <w:sz w:val="20"/>
        </w:rPr>
      </w:pPr>
      <w:r>
        <w:rPr>
          <w:b/>
          <w:sz w:val="20"/>
        </w:rPr>
        <w:t>„</w:t>
      </w:r>
      <w:proofErr w:type="spellStart"/>
      <w:r>
        <w:rPr>
          <w:b/>
          <w:sz w:val="20"/>
        </w:rPr>
        <w:t>Commercial</w:t>
      </w:r>
      <w:proofErr w:type="spellEnd"/>
      <w:r>
        <w:rPr>
          <w:b/>
          <w:sz w:val="20"/>
        </w:rPr>
        <w:t xml:space="preserve"> </w:t>
      </w:r>
      <w:proofErr w:type="spellStart"/>
      <w:r>
        <w:rPr>
          <w:b/>
          <w:sz w:val="20"/>
        </w:rPr>
        <w:t>Film</w:t>
      </w:r>
      <w:proofErr w:type="spellEnd"/>
      <w:r>
        <w:rPr>
          <w:b/>
          <w:sz w:val="20"/>
        </w:rPr>
        <w:t xml:space="preserve"> </w:t>
      </w:r>
      <w:proofErr w:type="spellStart"/>
      <w:r>
        <w:rPr>
          <w:b/>
          <w:sz w:val="20"/>
        </w:rPr>
        <w:t>Producers</w:t>
      </w:r>
      <w:proofErr w:type="spellEnd"/>
      <w:r>
        <w:rPr>
          <w:b/>
          <w:sz w:val="20"/>
        </w:rPr>
        <w:t>“, Kipras</w:t>
      </w:r>
    </w:p>
    <w:p w14:paraId="5AB657F2" w14:textId="77777777" w:rsidR="000501C2" w:rsidRDefault="008B7527" w:rsidP="008B7527">
      <w:pPr>
        <w:spacing w:before="10" w:line="254" w:lineRule="auto"/>
        <w:ind w:right="377"/>
        <w:jc w:val="right"/>
        <w:rPr>
          <w:b/>
          <w:sz w:val="20"/>
        </w:rPr>
      </w:pPr>
      <w:r>
        <w:rPr>
          <w:b/>
          <w:sz w:val="20"/>
        </w:rPr>
        <w:t>APA, Čekija</w:t>
      </w:r>
      <w:r>
        <w:rPr>
          <w:b/>
          <w:sz w:val="20"/>
        </w:rPr>
        <w:br/>
        <w:t>„</w:t>
      </w:r>
      <w:proofErr w:type="spellStart"/>
      <w:r>
        <w:rPr>
          <w:b/>
          <w:sz w:val="20"/>
        </w:rPr>
        <w:t>Producentforeningen</w:t>
      </w:r>
      <w:proofErr w:type="spellEnd"/>
      <w:r>
        <w:rPr>
          <w:b/>
          <w:sz w:val="20"/>
        </w:rPr>
        <w:t>“, Danija</w:t>
      </w:r>
    </w:p>
    <w:p w14:paraId="5AB657F3" w14:textId="77777777" w:rsidR="000501C2" w:rsidRDefault="008B7527" w:rsidP="008B7527">
      <w:pPr>
        <w:spacing w:line="249" w:lineRule="auto"/>
        <w:ind w:right="380"/>
        <w:jc w:val="right"/>
        <w:rPr>
          <w:b/>
          <w:sz w:val="20"/>
        </w:rPr>
      </w:pPr>
      <w:r>
        <w:rPr>
          <w:b/>
          <w:sz w:val="20"/>
        </w:rPr>
        <w:t>CFPE-E, Europa</w:t>
      </w:r>
      <w:r>
        <w:rPr>
          <w:b/>
          <w:sz w:val="20"/>
        </w:rPr>
        <w:br/>
        <w:t>APFP, Prancūzija</w:t>
      </w:r>
    </w:p>
    <w:p w14:paraId="5AB657F4" w14:textId="77777777" w:rsidR="000501C2" w:rsidRDefault="008B7527" w:rsidP="008B7527">
      <w:pPr>
        <w:spacing w:before="5" w:line="254" w:lineRule="auto"/>
        <w:ind w:right="377"/>
        <w:jc w:val="right"/>
        <w:rPr>
          <w:b/>
          <w:sz w:val="20"/>
        </w:rPr>
      </w:pPr>
      <w:r>
        <w:rPr>
          <w:b/>
          <w:sz w:val="20"/>
        </w:rPr>
        <w:t>„</w:t>
      </w:r>
      <w:proofErr w:type="spellStart"/>
      <w:r>
        <w:rPr>
          <w:b/>
          <w:sz w:val="20"/>
        </w:rPr>
        <w:t>Georigian</w:t>
      </w:r>
      <w:proofErr w:type="spellEnd"/>
      <w:r>
        <w:rPr>
          <w:b/>
          <w:sz w:val="20"/>
        </w:rPr>
        <w:t xml:space="preserve"> </w:t>
      </w:r>
      <w:proofErr w:type="spellStart"/>
      <w:r>
        <w:rPr>
          <w:b/>
          <w:sz w:val="20"/>
        </w:rPr>
        <w:t>Film</w:t>
      </w:r>
      <w:proofErr w:type="spellEnd"/>
      <w:r>
        <w:rPr>
          <w:b/>
          <w:sz w:val="20"/>
        </w:rPr>
        <w:t xml:space="preserve"> </w:t>
      </w:r>
      <w:proofErr w:type="spellStart"/>
      <w:r>
        <w:rPr>
          <w:b/>
          <w:sz w:val="20"/>
        </w:rPr>
        <w:t>Cluster</w:t>
      </w:r>
      <w:proofErr w:type="spellEnd"/>
      <w:r>
        <w:rPr>
          <w:b/>
          <w:sz w:val="20"/>
        </w:rPr>
        <w:t>“, Gruzija</w:t>
      </w:r>
      <w:r>
        <w:rPr>
          <w:b/>
          <w:sz w:val="20"/>
        </w:rPr>
        <w:br/>
        <w:t>„</w:t>
      </w:r>
      <w:proofErr w:type="spellStart"/>
      <w:r>
        <w:rPr>
          <w:b/>
          <w:sz w:val="20"/>
        </w:rPr>
        <w:t>Werbefilmproduzenten</w:t>
      </w:r>
      <w:proofErr w:type="spellEnd"/>
      <w:r>
        <w:rPr>
          <w:b/>
          <w:sz w:val="20"/>
        </w:rPr>
        <w:t>“, Vokietija</w:t>
      </w:r>
    </w:p>
    <w:p w14:paraId="5AB657F5" w14:textId="77777777" w:rsidR="000501C2" w:rsidRDefault="008B7527" w:rsidP="008B7527">
      <w:pPr>
        <w:spacing w:line="244" w:lineRule="auto"/>
        <w:ind w:right="377"/>
        <w:jc w:val="right"/>
        <w:rPr>
          <w:b/>
          <w:sz w:val="20"/>
        </w:rPr>
      </w:pPr>
      <w:r>
        <w:rPr>
          <w:b/>
          <w:sz w:val="20"/>
        </w:rPr>
        <w:t>PACT, Graikija</w:t>
      </w:r>
      <w:r>
        <w:rPr>
          <w:b/>
          <w:sz w:val="20"/>
        </w:rPr>
        <w:br/>
      </w:r>
      <w:r>
        <w:rPr>
          <w:b/>
          <w:sz w:val="20"/>
        </w:rPr>
        <w:t>HUNAPA, Vengrija</w:t>
      </w:r>
    </w:p>
    <w:p w14:paraId="5AB657F6" w14:textId="77777777" w:rsidR="000501C2" w:rsidRDefault="008B7527" w:rsidP="008B7527">
      <w:pPr>
        <w:spacing w:line="240" w:lineRule="exact"/>
        <w:ind w:right="381"/>
        <w:jc w:val="right"/>
        <w:rPr>
          <w:b/>
          <w:sz w:val="20"/>
        </w:rPr>
      </w:pPr>
      <w:r>
        <w:rPr>
          <w:b/>
          <w:sz w:val="20"/>
        </w:rPr>
        <w:t>„</w:t>
      </w:r>
      <w:proofErr w:type="spellStart"/>
      <w:r>
        <w:rPr>
          <w:b/>
          <w:sz w:val="20"/>
        </w:rPr>
        <w:t>Commerical</w:t>
      </w:r>
      <w:proofErr w:type="spellEnd"/>
      <w:r>
        <w:rPr>
          <w:b/>
          <w:sz w:val="20"/>
        </w:rPr>
        <w:t xml:space="preserve"> </w:t>
      </w:r>
      <w:proofErr w:type="spellStart"/>
      <w:r>
        <w:rPr>
          <w:b/>
          <w:sz w:val="20"/>
        </w:rPr>
        <w:t>Producers</w:t>
      </w:r>
      <w:proofErr w:type="spellEnd"/>
      <w:r>
        <w:rPr>
          <w:b/>
          <w:sz w:val="20"/>
        </w:rPr>
        <w:t>“, Airija</w:t>
      </w:r>
    </w:p>
    <w:p w14:paraId="5AB657F7" w14:textId="77777777" w:rsidR="000501C2" w:rsidRDefault="008B7527" w:rsidP="008B7527">
      <w:pPr>
        <w:spacing w:before="5" w:line="249" w:lineRule="auto"/>
        <w:ind w:right="371"/>
        <w:jc w:val="right"/>
        <w:rPr>
          <w:b/>
          <w:sz w:val="20"/>
        </w:rPr>
      </w:pPr>
      <w:r>
        <w:rPr>
          <w:b/>
          <w:sz w:val="20"/>
        </w:rPr>
        <w:t>CPA, Italija</w:t>
      </w:r>
      <w:r>
        <w:rPr>
          <w:b/>
          <w:sz w:val="20"/>
        </w:rPr>
        <w:br/>
        <w:t>LAPA, Lietuva</w:t>
      </w:r>
      <w:r>
        <w:rPr>
          <w:b/>
          <w:sz w:val="20"/>
        </w:rPr>
        <w:br/>
        <w:t>SPR, Lenkija</w:t>
      </w:r>
    </w:p>
    <w:p w14:paraId="5AB657F8" w14:textId="77777777" w:rsidR="000501C2" w:rsidRDefault="008B7527" w:rsidP="008B7527">
      <w:pPr>
        <w:spacing w:before="6" w:line="244" w:lineRule="auto"/>
        <w:ind w:right="376"/>
        <w:jc w:val="right"/>
        <w:rPr>
          <w:b/>
          <w:sz w:val="20"/>
        </w:rPr>
      </w:pPr>
      <w:r>
        <w:rPr>
          <w:b/>
          <w:sz w:val="20"/>
        </w:rPr>
        <w:t>SAPA, Serbijos Respublika</w:t>
      </w:r>
      <w:r>
        <w:rPr>
          <w:b/>
          <w:sz w:val="20"/>
        </w:rPr>
        <w:br/>
        <w:t>„</w:t>
      </w:r>
      <w:proofErr w:type="spellStart"/>
      <w:r>
        <w:rPr>
          <w:b/>
          <w:sz w:val="20"/>
        </w:rPr>
        <w:t>Romanian</w:t>
      </w:r>
      <w:proofErr w:type="spellEnd"/>
      <w:r>
        <w:rPr>
          <w:b/>
          <w:sz w:val="20"/>
        </w:rPr>
        <w:t xml:space="preserve"> </w:t>
      </w:r>
      <w:proofErr w:type="spellStart"/>
      <w:r>
        <w:rPr>
          <w:b/>
          <w:sz w:val="20"/>
        </w:rPr>
        <w:t>Association</w:t>
      </w:r>
      <w:proofErr w:type="spellEnd"/>
      <w:r>
        <w:rPr>
          <w:b/>
          <w:sz w:val="20"/>
        </w:rPr>
        <w:t xml:space="preserve"> </w:t>
      </w:r>
      <w:proofErr w:type="spellStart"/>
      <w:r>
        <w:rPr>
          <w:b/>
          <w:sz w:val="20"/>
        </w:rPr>
        <w:t>of</w:t>
      </w:r>
      <w:proofErr w:type="spellEnd"/>
      <w:r>
        <w:rPr>
          <w:b/>
          <w:sz w:val="20"/>
        </w:rPr>
        <w:t xml:space="preserve"> </w:t>
      </w:r>
      <w:proofErr w:type="spellStart"/>
      <w:r>
        <w:rPr>
          <w:b/>
          <w:sz w:val="20"/>
        </w:rPr>
        <w:t>Advertising</w:t>
      </w:r>
      <w:proofErr w:type="spellEnd"/>
      <w:r>
        <w:rPr>
          <w:b/>
          <w:sz w:val="20"/>
        </w:rPr>
        <w:t xml:space="preserve"> </w:t>
      </w:r>
      <w:proofErr w:type="spellStart"/>
      <w:r>
        <w:rPr>
          <w:b/>
          <w:sz w:val="20"/>
        </w:rPr>
        <w:t>Producers</w:t>
      </w:r>
      <w:proofErr w:type="spellEnd"/>
      <w:r>
        <w:rPr>
          <w:b/>
          <w:sz w:val="20"/>
        </w:rPr>
        <w:t>“, Rumunija</w:t>
      </w:r>
    </w:p>
    <w:p w14:paraId="5AB657F9" w14:textId="77777777" w:rsidR="000501C2" w:rsidRDefault="008B7527" w:rsidP="008B7527">
      <w:pPr>
        <w:spacing w:line="249" w:lineRule="auto"/>
        <w:ind w:right="371"/>
        <w:jc w:val="right"/>
        <w:rPr>
          <w:b/>
          <w:sz w:val="20"/>
        </w:rPr>
      </w:pPr>
      <w:r>
        <w:rPr>
          <w:b/>
          <w:sz w:val="20"/>
        </w:rPr>
        <w:t xml:space="preserve">SLAP, </w:t>
      </w:r>
      <w:proofErr w:type="spellStart"/>
      <w:r>
        <w:rPr>
          <w:b/>
          <w:sz w:val="20"/>
        </w:rPr>
        <w:t>Solvėnija</w:t>
      </w:r>
      <w:proofErr w:type="spellEnd"/>
      <w:r>
        <w:rPr>
          <w:b/>
          <w:sz w:val="20"/>
        </w:rPr>
        <w:br/>
        <w:t>APCP, Ispanija</w:t>
      </w:r>
    </w:p>
    <w:p w14:paraId="5AB657FA" w14:textId="77777777" w:rsidR="000501C2" w:rsidRDefault="008B7527" w:rsidP="008B7527">
      <w:pPr>
        <w:spacing w:line="249" w:lineRule="auto"/>
        <w:ind w:right="377"/>
        <w:jc w:val="right"/>
        <w:rPr>
          <w:b/>
          <w:sz w:val="20"/>
        </w:rPr>
      </w:pPr>
      <w:r>
        <w:rPr>
          <w:b/>
          <w:sz w:val="20"/>
        </w:rPr>
        <w:t>„</w:t>
      </w:r>
      <w:proofErr w:type="spellStart"/>
      <w:r>
        <w:rPr>
          <w:b/>
          <w:sz w:val="20"/>
        </w:rPr>
        <w:t>Film</w:t>
      </w:r>
      <w:proofErr w:type="spellEnd"/>
      <w:r>
        <w:rPr>
          <w:b/>
          <w:sz w:val="20"/>
        </w:rPr>
        <w:t xml:space="preserve"> &amp; TV </w:t>
      </w:r>
      <w:proofErr w:type="spellStart"/>
      <w:r>
        <w:rPr>
          <w:b/>
          <w:sz w:val="20"/>
        </w:rPr>
        <w:t>Producenterna</w:t>
      </w:r>
      <w:proofErr w:type="spellEnd"/>
      <w:r>
        <w:rPr>
          <w:b/>
          <w:sz w:val="20"/>
        </w:rPr>
        <w:t>“, Švedija</w:t>
      </w:r>
      <w:r>
        <w:rPr>
          <w:b/>
          <w:sz w:val="20"/>
        </w:rPr>
        <w:br/>
        <w:t>„</w:t>
      </w:r>
      <w:proofErr w:type="spellStart"/>
      <w:r>
        <w:rPr>
          <w:b/>
          <w:sz w:val="20"/>
        </w:rPr>
        <w:t>Swissfilm</w:t>
      </w:r>
      <w:proofErr w:type="spellEnd"/>
      <w:r>
        <w:rPr>
          <w:b/>
          <w:sz w:val="20"/>
        </w:rPr>
        <w:t xml:space="preserve"> </w:t>
      </w:r>
      <w:proofErr w:type="spellStart"/>
      <w:r>
        <w:rPr>
          <w:b/>
          <w:sz w:val="20"/>
        </w:rPr>
        <w:t>Association</w:t>
      </w:r>
      <w:proofErr w:type="spellEnd"/>
      <w:r>
        <w:rPr>
          <w:b/>
          <w:sz w:val="20"/>
        </w:rPr>
        <w:t>“, Šveicarija</w:t>
      </w:r>
    </w:p>
    <w:p w14:paraId="5AB657FB" w14:textId="77777777" w:rsidR="000501C2" w:rsidRDefault="008B7527" w:rsidP="008B7527">
      <w:pPr>
        <w:spacing w:before="5" w:line="244" w:lineRule="auto"/>
        <w:ind w:right="377"/>
        <w:jc w:val="right"/>
        <w:rPr>
          <w:b/>
          <w:sz w:val="20"/>
        </w:rPr>
      </w:pPr>
      <w:r>
        <w:rPr>
          <w:b/>
          <w:sz w:val="20"/>
        </w:rPr>
        <w:t>RY, Turkija</w:t>
      </w:r>
      <w:r>
        <w:rPr>
          <w:b/>
          <w:sz w:val="20"/>
        </w:rPr>
        <w:br/>
        <w:t>APA, Jungtinė Karalystė</w:t>
      </w:r>
    </w:p>
    <w:p w14:paraId="5AB657FC" w14:textId="77777777" w:rsidR="000501C2" w:rsidRDefault="008B7527" w:rsidP="008B7527">
      <w:pPr>
        <w:spacing w:before="5"/>
        <w:ind w:right="376"/>
        <w:jc w:val="right"/>
        <w:rPr>
          <w:b/>
          <w:sz w:val="20"/>
        </w:rPr>
      </w:pPr>
      <w:r>
        <w:rPr>
          <w:b/>
          <w:sz w:val="20"/>
        </w:rPr>
        <w:t>AICP, JAV</w:t>
      </w:r>
    </w:p>
    <w:sectPr w:rsidR="000501C2">
      <w:pgSz w:w="20480" w:h="15360" w:orient="landscape"/>
      <w:pgMar w:top="1100" w:right="2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936A8"/>
    <w:multiLevelType w:val="hybridMultilevel"/>
    <w:tmpl w:val="204EA0EE"/>
    <w:lvl w:ilvl="0" w:tplc="34249A36">
      <w:start w:val="1"/>
      <w:numFmt w:val="decimal"/>
      <w:lvlText w:val="%1."/>
      <w:lvlJc w:val="left"/>
      <w:pPr>
        <w:ind w:left="565" w:hanging="265"/>
        <w:jc w:val="right"/>
      </w:pPr>
      <w:rPr>
        <w:rFonts w:ascii="Arial" w:eastAsia="Arial" w:hAnsi="Arial" w:cs="Arial" w:hint="default"/>
        <w:b/>
        <w:bCs/>
        <w:i w:val="0"/>
        <w:iCs w:val="0"/>
        <w:spacing w:val="0"/>
        <w:w w:val="100"/>
        <w:sz w:val="24"/>
        <w:szCs w:val="24"/>
        <w:lang w:val="en-US" w:eastAsia="en-US" w:bidi="ar-SA"/>
      </w:rPr>
    </w:lvl>
    <w:lvl w:ilvl="1" w:tplc="A7F26442">
      <w:numFmt w:val="bullet"/>
      <w:lvlText w:val="•"/>
      <w:lvlJc w:val="left"/>
      <w:pPr>
        <w:ind w:left="2444" w:hanging="265"/>
      </w:pPr>
      <w:rPr>
        <w:rFonts w:hint="default"/>
        <w:lang w:val="en-US" w:eastAsia="en-US" w:bidi="ar-SA"/>
      </w:rPr>
    </w:lvl>
    <w:lvl w:ilvl="2" w:tplc="AC560ABC">
      <w:numFmt w:val="bullet"/>
      <w:lvlText w:val="•"/>
      <w:lvlJc w:val="left"/>
      <w:pPr>
        <w:ind w:left="4328" w:hanging="265"/>
      </w:pPr>
      <w:rPr>
        <w:rFonts w:hint="default"/>
        <w:lang w:val="en-US" w:eastAsia="en-US" w:bidi="ar-SA"/>
      </w:rPr>
    </w:lvl>
    <w:lvl w:ilvl="3" w:tplc="22581708">
      <w:numFmt w:val="bullet"/>
      <w:lvlText w:val="•"/>
      <w:lvlJc w:val="left"/>
      <w:pPr>
        <w:ind w:left="6212" w:hanging="265"/>
      </w:pPr>
      <w:rPr>
        <w:rFonts w:hint="default"/>
        <w:lang w:val="en-US" w:eastAsia="en-US" w:bidi="ar-SA"/>
      </w:rPr>
    </w:lvl>
    <w:lvl w:ilvl="4" w:tplc="ED8CB366">
      <w:numFmt w:val="bullet"/>
      <w:lvlText w:val="•"/>
      <w:lvlJc w:val="left"/>
      <w:pPr>
        <w:ind w:left="8096" w:hanging="265"/>
      </w:pPr>
      <w:rPr>
        <w:rFonts w:hint="default"/>
        <w:lang w:val="en-US" w:eastAsia="en-US" w:bidi="ar-SA"/>
      </w:rPr>
    </w:lvl>
    <w:lvl w:ilvl="5" w:tplc="F922360E">
      <w:numFmt w:val="bullet"/>
      <w:lvlText w:val="•"/>
      <w:lvlJc w:val="left"/>
      <w:pPr>
        <w:ind w:left="9980" w:hanging="265"/>
      </w:pPr>
      <w:rPr>
        <w:rFonts w:hint="default"/>
        <w:lang w:val="en-US" w:eastAsia="en-US" w:bidi="ar-SA"/>
      </w:rPr>
    </w:lvl>
    <w:lvl w:ilvl="6" w:tplc="1848E9A2">
      <w:numFmt w:val="bullet"/>
      <w:lvlText w:val="•"/>
      <w:lvlJc w:val="left"/>
      <w:pPr>
        <w:ind w:left="11864" w:hanging="265"/>
      </w:pPr>
      <w:rPr>
        <w:rFonts w:hint="default"/>
        <w:lang w:val="en-US" w:eastAsia="en-US" w:bidi="ar-SA"/>
      </w:rPr>
    </w:lvl>
    <w:lvl w:ilvl="7" w:tplc="8E444A5A">
      <w:numFmt w:val="bullet"/>
      <w:lvlText w:val="•"/>
      <w:lvlJc w:val="left"/>
      <w:pPr>
        <w:ind w:left="13748" w:hanging="265"/>
      </w:pPr>
      <w:rPr>
        <w:rFonts w:hint="default"/>
        <w:lang w:val="en-US" w:eastAsia="en-US" w:bidi="ar-SA"/>
      </w:rPr>
    </w:lvl>
    <w:lvl w:ilvl="8" w:tplc="DB561EFC">
      <w:numFmt w:val="bullet"/>
      <w:lvlText w:val="•"/>
      <w:lvlJc w:val="left"/>
      <w:pPr>
        <w:ind w:left="15632" w:hanging="265"/>
      </w:pPr>
      <w:rPr>
        <w:rFonts w:hint="default"/>
        <w:lang w:val="en-US" w:eastAsia="en-US" w:bidi="ar-SA"/>
      </w:rPr>
    </w:lvl>
  </w:abstractNum>
  <w:num w:numId="1" w16cid:durableId="425927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0501C2"/>
    <w:rsid w:val="000501C2"/>
    <w:rsid w:val="008B7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AB6578B"/>
  <w15:docId w15:val="{CAF5DC41-01E2-4FD7-B1EC-7961FD64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17"/>
      <w:ind w:left="100"/>
    </w:pPr>
    <w:rPr>
      <w:sz w:val="72"/>
      <w:szCs w:val="72"/>
    </w:rPr>
  </w:style>
  <w:style w:type="paragraph" w:styleId="ListParagraph">
    <w:name w:val="List Paragraph"/>
    <w:basedOn w:val="Normal"/>
    <w:uiPriority w:val="1"/>
    <w:qFormat/>
    <w:pPr>
      <w:ind w:left="565" w:hanging="27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8031</Characters>
  <Application>Microsoft Office Word</Application>
  <DocSecurity>0</DocSecurity>
  <Lines>66</Lines>
  <Paragraphs>18</Paragraphs>
  <ScaleCrop>false</ScaleCrop>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Gilmartin</dc:creator>
  <cp:lastModifiedBy>Renal</cp:lastModifiedBy>
  <cp:revision>2</cp:revision>
  <dcterms:created xsi:type="dcterms:W3CDTF">2023-08-09T08:32:00Z</dcterms:created>
  <dcterms:modified xsi:type="dcterms:W3CDTF">2023-08-10T06:28:00Z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2023-08-08T00:00:00Z</vt:filetime>
  </property>
  <property fmtid="{D5CDD505-2E9C-101B-9397-08002B2CF9AE}" pid="3" name="Creator">
    <vt:lpwstr>Microsoft Word</vt:lpwstr>
  </property>
  <property fmtid="{D5CDD505-2E9C-101B-9397-08002B2CF9AE}" pid="4" name="LastSaved">
    <vt:filetime>2023-08-09T00:00:00Z</vt:filetime>
  </property>
</Properties>
</file>